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36" w:rsidRDefault="00400D36" w:rsidP="00B53E6C">
      <w:pPr>
        <w:spacing w:line="360" w:lineRule="auto"/>
        <w:jc w:val="both"/>
        <w:rPr>
          <w:rFonts w:ascii="Arial" w:hAnsi="Arial" w:cs="Arial"/>
          <w:sz w:val="24"/>
          <w:szCs w:val="24"/>
          <w:lang w:val="de-DE"/>
        </w:rPr>
      </w:pPr>
    </w:p>
    <w:p w:rsidR="00024F08" w:rsidRPr="00982568" w:rsidRDefault="00820ED3" w:rsidP="00E4158A">
      <w:pPr>
        <w:pStyle w:val="Titel"/>
        <w:rPr>
          <w:lang w:val="de-DE"/>
        </w:rPr>
      </w:pPr>
      <w:r>
        <w:rPr>
          <w:lang w:val="de-DE"/>
        </w:rPr>
        <w:t>Eine s</w:t>
      </w:r>
      <w:r w:rsidR="008B79BF">
        <w:rPr>
          <w:lang w:val="de-DE"/>
        </w:rPr>
        <w:t xml:space="preserve">exuelle Beziehung </w:t>
      </w:r>
      <w:r w:rsidR="00081776">
        <w:rPr>
          <w:lang w:val="de-DE"/>
        </w:rPr>
        <w:t>in der Therapie – rechtliche und ethische Aspekte</w:t>
      </w:r>
    </w:p>
    <w:p w:rsidR="008B79BF" w:rsidRDefault="008B79BF" w:rsidP="00024F08">
      <w:pPr>
        <w:spacing w:line="360" w:lineRule="auto"/>
        <w:jc w:val="both"/>
        <w:rPr>
          <w:rFonts w:ascii="Frutiger Linotype" w:hAnsi="Frutiger Linotype"/>
          <w:lang w:val="de-DE"/>
        </w:rPr>
      </w:pPr>
      <w:r>
        <w:rPr>
          <w:rFonts w:ascii="Frutiger Linotype" w:hAnsi="Frutiger Linotype"/>
          <w:lang w:val="de-DE"/>
        </w:rPr>
        <w:t xml:space="preserve">Als Berater von Ethikkommissionen und als Rechtberater werde ich häufiger gefragt, welche Dimension es eigentlich hat, wenn Klient*in und Therapeut*in während oder nach der Therapie eine sexuelle Beziehung eingehen. </w:t>
      </w:r>
    </w:p>
    <w:p w:rsidR="00BE4057" w:rsidRDefault="00BE4057" w:rsidP="00024F08">
      <w:pPr>
        <w:spacing w:line="360" w:lineRule="auto"/>
        <w:jc w:val="both"/>
        <w:rPr>
          <w:rFonts w:ascii="Frutiger Linotype" w:hAnsi="Frutiger Linotype"/>
          <w:lang w:val="de-DE"/>
        </w:rPr>
      </w:pPr>
      <w:r>
        <w:rPr>
          <w:rFonts w:ascii="Frutiger Linotype" w:hAnsi="Frutiger Linotype"/>
          <w:lang w:val="de-DE"/>
        </w:rPr>
        <w:t>Die Sachverhalte sind unterschiedlich</w:t>
      </w:r>
      <w:r w:rsidR="00D63B41">
        <w:rPr>
          <w:rFonts w:ascii="Frutiger Linotype" w:hAnsi="Frutiger Linotype"/>
          <w:lang w:val="de-DE"/>
        </w:rPr>
        <w:t xml:space="preserve">: vom privaten Kontakt nach der Therapie über die Klage mehrerer </w:t>
      </w:r>
      <w:r w:rsidR="00820ED3">
        <w:rPr>
          <w:rFonts w:ascii="Frutiger Linotype" w:hAnsi="Frutiger Linotype"/>
          <w:lang w:val="de-DE"/>
        </w:rPr>
        <w:t>Klient</w:t>
      </w:r>
      <w:r w:rsidR="00D63B41">
        <w:rPr>
          <w:rFonts w:ascii="Frutiger Linotype" w:hAnsi="Frutiger Linotype"/>
          <w:lang w:val="de-DE"/>
        </w:rPr>
        <w:t>innen über unangenehmes „Berühren“ während der Therapiestunde durch den Therapeuten bis hin zum vorsätzlichen Ausnutzen der ausweglosen Lage zwecks sexueller Befriedigung.</w:t>
      </w:r>
    </w:p>
    <w:p w:rsidR="001D0AA3" w:rsidRDefault="001D0AA3" w:rsidP="001D0AA3">
      <w:pPr>
        <w:pStyle w:val="berschrift1"/>
        <w:rPr>
          <w:lang w:val="de-DE"/>
        </w:rPr>
      </w:pPr>
      <w:r>
        <w:rPr>
          <w:lang w:val="de-DE"/>
        </w:rPr>
        <w:t>Grundlegendes zum Abstinenzgebot</w:t>
      </w:r>
    </w:p>
    <w:p w:rsidR="001D0AA3" w:rsidRDefault="001D0AA3" w:rsidP="00024F08">
      <w:pPr>
        <w:spacing w:line="360" w:lineRule="auto"/>
        <w:jc w:val="both"/>
        <w:rPr>
          <w:rFonts w:ascii="Frutiger Linotype" w:hAnsi="Frutiger Linotype"/>
          <w:lang w:val="de-DE"/>
        </w:rPr>
      </w:pPr>
    </w:p>
    <w:p w:rsidR="00E4158A" w:rsidRDefault="00D63B41" w:rsidP="00024F08">
      <w:pPr>
        <w:spacing w:line="360" w:lineRule="auto"/>
        <w:jc w:val="both"/>
        <w:rPr>
          <w:rFonts w:ascii="Frutiger Linotype" w:hAnsi="Frutiger Linotype"/>
          <w:lang w:val="de-DE"/>
        </w:rPr>
      </w:pPr>
      <w:r>
        <w:rPr>
          <w:rFonts w:ascii="Frutiger Linotype" w:hAnsi="Frutiger Linotype"/>
          <w:lang w:val="de-DE"/>
        </w:rPr>
        <w:t xml:space="preserve">Das Rechtssystem reagiert </w:t>
      </w:r>
      <w:r w:rsidR="00E4158A">
        <w:rPr>
          <w:rFonts w:ascii="Frutiger Linotype" w:hAnsi="Frutiger Linotype"/>
          <w:lang w:val="de-DE"/>
        </w:rPr>
        <w:t xml:space="preserve">auf sexuelle Beziehungen zwischen Klient*in und Therapeut*in </w:t>
      </w:r>
      <w:r>
        <w:rPr>
          <w:rFonts w:ascii="Frutiger Linotype" w:hAnsi="Frutiger Linotype"/>
          <w:lang w:val="de-DE"/>
        </w:rPr>
        <w:t>durchaus differenziert, aber in der Sache klar</w:t>
      </w:r>
      <w:r w:rsidR="00820ED3">
        <w:rPr>
          <w:rFonts w:ascii="Frutiger Linotype" w:hAnsi="Frutiger Linotype"/>
          <w:lang w:val="de-DE"/>
        </w:rPr>
        <w:t>.</w:t>
      </w:r>
      <w:r>
        <w:rPr>
          <w:rFonts w:ascii="Frutiger Linotype" w:hAnsi="Frutiger Linotype"/>
          <w:lang w:val="de-DE"/>
        </w:rPr>
        <w:t xml:space="preserve"> </w:t>
      </w:r>
      <w:r w:rsidR="00E4158A">
        <w:rPr>
          <w:rFonts w:ascii="Frutiger Linotype" w:hAnsi="Frutiger Linotype"/>
          <w:lang w:val="de-DE"/>
        </w:rPr>
        <w:t xml:space="preserve">Das Abstinenzgebot lautet: die Therapeuten sollen außertherapeutische Kontakte zu </w:t>
      </w:r>
      <w:r w:rsidR="00820ED3">
        <w:rPr>
          <w:rFonts w:ascii="Frutiger Linotype" w:hAnsi="Frutiger Linotype"/>
          <w:lang w:val="de-DE"/>
        </w:rPr>
        <w:t>Klient</w:t>
      </w:r>
      <w:r w:rsidR="00E4158A">
        <w:rPr>
          <w:rFonts w:ascii="Frutiger Linotype" w:hAnsi="Frutiger Linotype"/>
          <w:lang w:val="de-DE"/>
        </w:rPr>
        <w:t>en auf das Nötige beschränken und so gestalten, dass eine therapeutische Beziehung möglichst wenig gestört wird. Jeglicher sexuelle Kontakt ist unzulässig.</w:t>
      </w:r>
    </w:p>
    <w:p w:rsidR="00251B25" w:rsidRDefault="00E4158A" w:rsidP="00024F08">
      <w:pPr>
        <w:spacing w:line="360" w:lineRule="auto"/>
        <w:jc w:val="both"/>
        <w:rPr>
          <w:rFonts w:ascii="Frutiger Linotype" w:hAnsi="Frutiger Linotype"/>
          <w:lang w:val="de-DE"/>
        </w:rPr>
      </w:pPr>
      <w:r>
        <w:rPr>
          <w:rFonts w:ascii="Frutiger Linotype" w:hAnsi="Frutiger Linotype"/>
          <w:lang w:val="de-DE"/>
        </w:rPr>
        <w:t>D</w:t>
      </w:r>
      <w:r w:rsidR="00D63B41">
        <w:rPr>
          <w:rFonts w:ascii="Frutiger Linotype" w:hAnsi="Frutiger Linotype"/>
          <w:lang w:val="de-DE"/>
        </w:rPr>
        <w:t xml:space="preserve">ie abstinente Haltung des Therapeuten dient dem Ziel, dem Klienten </w:t>
      </w:r>
      <w:r w:rsidR="00F258E8">
        <w:rPr>
          <w:rFonts w:ascii="Frutiger Linotype" w:hAnsi="Frutiger Linotype"/>
          <w:lang w:val="de-DE"/>
        </w:rPr>
        <w:t>ohne Rücksicht auf die persönliche Situation des Therapeuten einen Freiraum zu verschaffen. Der Klient soll seine eigene Situation einer professionellen Person anvertrauen können.</w:t>
      </w:r>
    </w:p>
    <w:p w:rsidR="00E4158A" w:rsidRDefault="00F258E8" w:rsidP="00024F08">
      <w:pPr>
        <w:spacing w:line="360" w:lineRule="auto"/>
        <w:jc w:val="both"/>
        <w:rPr>
          <w:rFonts w:ascii="Frutiger Linotype" w:hAnsi="Frutiger Linotype"/>
          <w:lang w:val="de-DE"/>
        </w:rPr>
      </w:pPr>
      <w:r>
        <w:rPr>
          <w:rFonts w:ascii="Frutiger Linotype" w:hAnsi="Frutiger Linotype"/>
          <w:lang w:val="de-DE"/>
        </w:rPr>
        <w:t xml:space="preserve">Dementsprechend ist es ethisch wie rechtlich verboten, die Vertrauensbeziehung von </w:t>
      </w:r>
      <w:r w:rsidR="00820ED3">
        <w:rPr>
          <w:rFonts w:ascii="Frutiger Linotype" w:hAnsi="Frutiger Linotype"/>
          <w:lang w:val="de-DE"/>
        </w:rPr>
        <w:t>Klient</w:t>
      </w:r>
      <w:r>
        <w:rPr>
          <w:rFonts w:ascii="Frutiger Linotype" w:hAnsi="Frutiger Linotype"/>
          <w:lang w:val="de-DE"/>
        </w:rPr>
        <w:t xml:space="preserve">en zur Befriedigung eigener Interessen und Bedürfnisse auszunutzen. Noch </w:t>
      </w:r>
      <w:r w:rsidR="00E4158A">
        <w:rPr>
          <w:rFonts w:ascii="Frutiger Linotype" w:hAnsi="Frutiger Linotype"/>
          <w:lang w:val="de-DE"/>
        </w:rPr>
        <w:t>weitergehend</w:t>
      </w:r>
      <w:r>
        <w:rPr>
          <w:rFonts w:ascii="Frutiger Linotype" w:hAnsi="Frutiger Linotype"/>
          <w:lang w:val="de-DE"/>
        </w:rPr>
        <w:t xml:space="preserve">: Die abstinente Haltung erstreckt sich auch auf Personen, die einem </w:t>
      </w:r>
      <w:r w:rsidR="00820ED3">
        <w:rPr>
          <w:rFonts w:ascii="Frutiger Linotype" w:hAnsi="Frutiger Linotype"/>
          <w:lang w:val="de-DE"/>
        </w:rPr>
        <w:t>Klient</w:t>
      </w:r>
      <w:r>
        <w:rPr>
          <w:rFonts w:ascii="Frutiger Linotype" w:hAnsi="Frutiger Linotype"/>
          <w:lang w:val="de-DE"/>
        </w:rPr>
        <w:t>en nahestehen, bei Kindern und Jugendlichen insbesondere auf dessen Eltern und Sorgeberechtigte.</w:t>
      </w:r>
      <w:r w:rsidR="00251B25">
        <w:rPr>
          <w:rFonts w:ascii="Frutiger Linotype" w:hAnsi="Frutiger Linotype"/>
          <w:lang w:val="de-DE"/>
        </w:rPr>
        <w:t xml:space="preserve"> </w:t>
      </w:r>
    </w:p>
    <w:p w:rsidR="00E4158A" w:rsidRDefault="00251B25" w:rsidP="00024F08">
      <w:pPr>
        <w:spacing w:line="360" w:lineRule="auto"/>
        <w:jc w:val="both"/>
        <w:rPr>
          <w:rFonts w:ascii="Frutiger Linotype" w:hAnsi="Frutiger Linotype"/>
          <w:lang w:val="de-DE"/>
        </w:rPr>
      </w:pPr>
      <w:r>
        <w:rPr>
          <w:rFonts w:ascii="Frutiger Linotype" w:hAnsi="Frutiger Linotype"/>
          <w:lang w:val="de-DE"/>
        </w:rPr>
        <w:lastRenderedPageBreak/>
        <w:t xml:space="preserve">Das Abstinenzgebot gilt auch für die Zeit nach Beendigung der Therapie, solange noch eine Behandlungsnotwendigkeit gegeben ist, m.a.W. </w:t>
      </w:r>
      <w:r w:rsidR="00820ED3">
        <w:rPr>
          <w:rFonts w:ascii="Frutiger Linotype" w:hAnsi="Frutiger Linotype"/>
          <w:lang w:val="de-DE"/>
        </w:rPr>
        <w:t xml:space="preserve">die Diagnose weiterhin besteht oder </w:t>
      </w:r>
      <w:r>
        <w:rPr>
          <w:rFonts w:ascii="Frutiger Linotype" w:hAnsi="Frutiger Linotype"/>
          <w:lang w:val="de-DE"/>
        </w:rPr>
        <w:t>der Klient bei eine</w:t>
      </w:r>
      <w:r w:rsidR="00820ED3">
        <w:rPr>
          <w:rFonts w:ascii="Frutiger Linotype" w:hAnsi="Frutiger Linotype"/>
          <w:lang w:val="de-DE"/>
        </w:rPr>
        <w:t xml:space="preserve">r anderen Person </w:t>
      </w:r>
      <w:r>
        <w:rPr>
          <w:rFonts w:ascii="Frutiger Linotype" w:hAnsi="Frutiger Linotype"/>
          <w:lang w:val="de-DE"/>
        </w:rPr>
        <w:t xml:space="preserve">in Behandlung ist. </w:t>
      </w:r>
    </w:p>
    <w:p w:rsidR="00D63B41" w:rsidRDefault="00251B25" w:rsidP="00024F08">
      <w:pPr>
        <w:spacing w:line="360" w:lineRule="auto"/>
        <w:jc w:val="both"/>
        <w:rPr>
          <w:rFonts w:ascii="Frutiger Linotype" w:hAnsi="Frutiger Linotype"/>
          <w:lang w:val="de-DE"/>
        </w:rPr>
      </w:pPr>
      <w:r>
        <w:rPr>
          <w:rFonts w:ascii="Frutiger Linotype" w:hAnsi="Frutiger Linotype"/>
          <w:lang w:val="de-DE"/>
        </w:rPr>
        <w:t xml:space="preserve">Eine Abhängigkeitsbeziehung zwischen Therapeut und Klient wird jedenfalls noch ein Jahr nach dem Ende der Therapie vermutet, so dass private Kontakte frühestens ab diesem Zeitpunkt aufgenommen werden dürfen. </w:t>
      </w:r>
    </w:p>
    <w:p w:rsidR="00251B25" w:rsidRDefault="00251B25" w:rsidP="00024F08">
      <w:pPr>
        <w:spacing w:line="360" w:lineRule="auto"/>
        <w:jc w:val="both"/>
        <w:rPr>
          <w:rFonts w:ascii="Frutiger Linotype" w:hAnsi="Frutiger Linotype"/>
          <w:lang w:val="de-DE"/>
        </w:rPr>
      </w:pPr>
      <w:r>
        <w:rPr>
          <w:rFonts w:ascii="Frutiger Linotype" w:hAnsi="Frutiger Linotype"/>
          <w:lang w:val="de-DE"/>
        </w:rPr>
        <w:t xml:space="preserve">Der Grund für diese einseitigen und </w:t>
      </w:r>
      <w:r w:rsidR="00A564C4">
        <w:rPr>
          <w:rFonts w:ascii="Frutiger Linotype" w:hAnsi="Frutiger Linotype"/>
          <w:lang w:val="de-DE"/>
        </w:rPr>
        <w:t>stark prägenden Vorgaben liegt in den wissenschaftlichen Erkenntnissen über die Wirkung von Therapien. Es ist eben das Vertrauensverhältnis, das den Fortschritt garantiert. Die klare</w:t>
      </w:r>
      <w:r w:rsidR="00E4158A">
        <w:rPr>
          <w:rFonts w:ascii="Frutiger Linotype" w:hAnsi="Frutiger Linotype"/>
          <w:lang w:val="de-DE"/>
        </w:rPr>
        <w:t xml:space="preserve"> und abstinente</w:t>
      </w:r>
      <w:r w:rsidR="00A564C4">
        <w:rPr>
          <w:rFonts w:ascii="Frutiger Linotype" w:hAnsi="Frutiger Linotype"/>
          <w:lang w:val="de-DE"/>
        </w:rPr>
        <w:t xml:space="preserve"> Rollenverteilung ist daher unverzichtbar. Sexuelle Kontakte lösen diese Rollenverteilung auf und verändern die Wirkung der Therapie nachweisbar und nachhaltig. Sexuelle Kontakte während der Therapie stellen daher schon von sich aus einen Behandlungsfehler dar, der zur Haftung führt. Sie können zu gesundheitlichen Schädigungen der </w:t>
      </w:r>
      <w:r w:rsidR="00820ED3">
        <w:rPr>
          <w:rFonts w:ascii="Frutiger Linotype" w:hAnsi="Frutiger Linotype"/>
          <w:lang w:val="de-DE"/>
        </w:rPr>
        <w:t>Klient</w:t>
      </w:r>
      <w:r w:rsidR="00A564C4">
        <w:rPr>
          <w:rFonts w:ascii="Frutiger Linotype" w:hAnsi="Frutiger Linotype"/>
          <w:lang w:val="de-DE"/>
        </w:rPr>
        <w:t>en (psychosomatische Störungen, Depressionen, suizidale Tendenzen etc.) führen.</w:t>
      </w:r>
    </w:p>
    <w:p w:rsidR="003B08DA" w:rsidRDefault="003B08DA" w:rsidP="00024F08">
      <w:pPr>
        <w:spacing w:line="360" w:lineRule="auto"/>
        <w:jc w:val="both"/>
        <w:rPr>
          <w:rFonts w:ascii="Frutiger Linotype" w:hAnsi="Frutiger Linotype"/>
          <w:lang w:val="de-DE"/>
        </w:rPr>
      </w:pPr>
      <w:r>
        <w:rPr>
          <w:rFonts w:ascii="Frutiger Linotype" w:hAnsi="Frutiger Linotype"/>
          <w:lang w:val="de-DE"/>
        </w:rPr>
        <w:t xml:space="preserve">Die klare und abstrakte Grenzziehung entspricht in der Praxis nicht unbedingt den Wünschen von </w:t>
      </w:r>
      <w:r w:rsidR="00820ED3">
        <w:rPr>
          <w:rFonts w:ascii="Frutiger Linotype" w:hAnsi="Frutiger Linotype"/>
          <w:lang w:val="de-DE"/>
        </w:rPr>
        <w:t>Klient</w:t>
      </w:r>
      <w:r>
        <w:rPr>
          <w:rFonts w:ascii="Frutiger Linotype" w:hAnsi="Frutiger Linotype"/>
          <w:lang w:val="de-DE"/>
        </w:rPr>
        <w:t xml:space="preserve">innen und </w:t>
      </w:r>
      <w:r w:rsidR="00820ED3">
        <w:rPr>
          <w:rFonts w:ascii="Frutiger Linotype" w:hAnsi="Frutiger Linotype"/>
          <w:lang w:val="de-DE"/>
        </w:rPr>
        <w:t>Klient</w:t>
      </w:r>
      <w:r>
        <w:rPr>
          <w:rFonts w:ascii="Frutiger Linotype" w:hAnsi="Frutiger Linotype"/>
          <w:lang w:val="de-DE"/>
        </w:rPr>
        <w:t xml:space="preserve">en. Auch deshalb kann es auf der Seite der Therapeut*innen zu Versuchungssituationen kommen. </w:t>
      </w:r>
      <w:r w:rsidR="001D0AA3">
        <w:rPr>
          <w:rFonts w:ascii="Frutiger Linotype" w:hAnsi="Frutiger Linotype"/>
          <w:lang w:val="de-DE"/>
        </w:rPr>
        <w:t>Das ändert aber nichts an der ethisch und rechtlich eindeutigen Lage: jeglicher sexuelle Kontakt von Therapeut*innen zu Klient*innen ist unzulässig.</w:t>
      </w:r>
      <w:r w:rsidR="00081776">
        <w:rPr>
          <w:rFonts w:ascii="Frutiger Linotype" w:hAnsi="Frutiger Linotype"/>
          <w:lang w:val="de-DE"/>
        </w:rPr>
        <w:t xml:space="preserve"> Also ist unerheblich, ob die Initiative zu der Beziehung von einem </w:t>
      </w:r>
      <w:r w:rsidR="00820ED3">
        <w:rPr>
          <w:rFonts w:ascii="Frutiger Linotype" w:hAnsi="Frutiger Linotype"/>
          <w:lang w:val="de-DE"/>
        </w:rPr>
        <w:t>Klient</w:t>
      </w:r>
      <w:r w:rsidR="00081776">
        <w:rPr>
          <w:rFonts w:ascii="Frutiger Linotype" w:hAnsi="Frutiger Linotype"/>
          <w:lang w:val="de-DE"/>
        </w:rPr>
        <w:t xml:space="preserve">en ausgegangen ist. Der Therapeut / die Therapeutin ist stets selbst für einen Verstoß gegen das Abstinenzgebot verantwortlich, denn im Verhältnis zwischen beiden trifft allein </w:t>
      </w:r>
      <w:r w:rsidR="00820ED3">
        <w:rPr>
          <w:rFonts w:ascii="Frutiger Linotype" w:hAnsi="Frutiger Linotype"/>
          <w:lang w:val="de-DE"/>
        </w:rPr>
        <w:t xml:space="preserve">sie / ihn </w:t>
      </w:r>
      <w:r w:rsidR="00081776">
        <w:rPr>
          <w:rFonts w:ascii="Frutiger Linotype" w:hAnsi="Frutiger Linotype"/>
          <w:lang w:val="de-DE"/>
        </w:rPr>
        <w:t>die Verantwortung für ein berufsethisch einwandfreies Verhalten.</w:t>
      </w:r>
      <w:r w:rsidR="00081776">
        <w:rPr>
          <w:rStyle w:val="Funotenzeichen"/>
          <w:rFonts w:ascii="Frutiger Linotype" w:hAnsi="Frutiger Linotype"/>
          <w:lang w:val="de-DE"/>
        </w:rPr>
        <w:footnoteReference w:id="1"/>
      </w:r>
    </w:p>
    <w:p w:rsidR="000E14DD" w:rsidRDefault="000E14DD" w:rsidP="001D0AA3">
      <w:pPr>
        <w:pStyle w:val="berschrift1"/>
        <w:rPr>
          <w:lang w:val="de-DE"/>
        </w:rPr>
      </w:pPr>
      <w:r>
        <w:rPr>
          <w:lang w:val="de-DE"/>
        </w:rPr>
        <w:t>Rechtliche und ethische Dimensionen</w:t>
      </w:r>
    </w:p>
    <w:p w:rsidR="00E41DB2" w:rsidRDefault="00E41DB2" w:rsidP="00E41DB2">
      <w:pPr>
        <w:rPr>
          <w:lang w:val="de-DE"/>
        </w:rPr>
      </w:pPr>
      <w:r>
        <w:rPr>
          <w:lang w:val="de-DE"/>
        </w:rPr>
        <w:t>Zunächst muss jetzt geklärt werden, woher das Abstinenzgebot stammt. Es ist also die Frage zu beantworten, ob es sich hier um eine ethische oder eine rechtliche Norm handelt.</w:t>
      </w:r>
    </w:p>
    <w:p w:rsidR="000E14DD" w:rsidRDefault="00C005D1" w:rsidP="00E41DB2">
      <w:pPr>
        <w:rPr>
          <w:lang w:val="de-DE"/>
        </w:rPr>
      </w:pPr>
      <w:r w:rsidRPr="00E41DB2">
        <w:rPr>
          <w:lang w:val="de-DE"/>
        </w:rPr>
        <w:t>Gerade</w:t>
      </w:r>
      <w:r w:rsidR="00E41DB2">
        <w:rPr>
          <w:lang w:val="de-DE"/>
        </w:rPr>
        <w:t xml:space="preserve"> im gesundheitlichen Bereich fließen Recht und Ethik zusammen. Was die Standesethik fordere – so das Bundesverfassungsgericht</w:t>
      </w:r>
      <w:r w:rsidR="00E41DB2">
        <w:rPr>
          <w:rStyle w:val="Funotenzeichen"/>
          <w:lang w:val="de-DE"/>
        </w:rPr>
        <w:footnoteReference w:id="2"/>
      </w:r>
      <w:r w:rsidR="00E41DB2">
        <w:rPr>
          <w:lang w:val="de-DE"/>
        </w:rPr>
        <w:t xml:space="preserve"> – übernehme das Recht weithin zugleich als rechtliche Pflicht. Dieser enge Zusammenhang tritt insbesondere in Artikel 1 GG hervor. Er bestimmt die Unantastbarkeit der Würde des Menschen zur übergreifenden Norm und gilt unabänderlich. </w:t>
      </w:r>
    </w:p>
    <w:p w:rsidR="00E41DB2" w:rsidRDefault="00E41DB2" w:rsidP="00E41DB2">
      <w:pPr>
        <w:rPr>
          <w:lang w:val="de-DE"/>
        </w:rPr>
      </w:pPr>
      <w:r>
        <w:rPr>
          <w:lang w:val="de-DE"/>
        </w:rPr>
        <w:t>Wenn wir also Rechtsnormen und ethische Normen mit Rahmensetzungen vergleich</w:t>
      </w:r>
      <w:r w:rsidR="00A25FA4">
        <w:rPr>
          <w:lang w:val="de-DE"/>
        </w:rPr>
        <w:t>en</w:t>
      </w:r>
      <w:r>
        <w:rPr>
          <w:lang w:val="de-DE"/>
        </w:rPr>
        <w:t xml:space="preserve">, in dem sich die therapeutische Tätigkeit bewegt, dann enthalten </w:t>
      </w:r>
      <w:r>
        <w:rPr>
          <w:lang w:val="de-DE"/>
        </w:rPr>
        <w:lastRenderedPageBreak/>
        <w:t>rechtliche Ge- oder Verbote als engerer Rahmen immer auch ethische Normsetzungen. Umgekehrt ist nicht jedes ethische Gebot zugleich als Rechtsnorm festgeschrieben.</w:t>
      </w:r>
    </w:p>
    <w:p w:rsidR="00E41DB2" w:rsidRPr="00E41DB2" w:rsidRDefault="00A25FA4" w:rsidP="00E41DB2">
      <w:pPr>
        <w:rPr>
          <w:lang w:val="de-DE"/>
        </w:rPr>
      </w:pPr>
      <w:r>
        <w:rPr>
          <w:lang w:val="de-DE"/>
        </w:rPr>
        <w:t>In Bezug auf das Abstinenzgebot können wir verschiedene Rechtsebenen differenzieren. Sie enthalten je nach Funktion des Gebietes unterschiedliche Normsetzungen. Im Folgenden wird nach Schweregrad des Verstoßes gegen das Abstine</w:t>
      </w:r>
      <w:bookmarkStart w:id="2" w:name="_GoBack"/>
      <w:bookmarkEnd w:id="2"/>
      <w:r>
        <w:rPr>
          <w:lang w:val="de-DE"/>
        </w:rPr>
        <w:t>nzgebot differenziert. Liegt nur ein relativ geringer Verstoß vor, der folgenlos bleibt, kann es sich auch um einen bloßen Verstoß gegen ethische Richtlinien handeln. Sie werden von den Berufs- und Fachverbänden aufgestellt und von ihnen sanktioniert.</w:t>
      </w:r>
    </w:p>
    <w:p w:rsidR="000E14DD" w:rsidRDefault="001D0AA3" w:rsidP="001D0AA3">
      <w:pPr>
        <w:pStyle w:val="berschrift1"/>
        <w:rPr>
          <w:lang w:val="de-DE"/>
        </w:rPr>
      </w:pPr>
      <w:r>
        <w:rPr>
          <w:lang w:val="de-DE"/>
        </w:rPr>
        <w:t>Straf</w:t>
      </w:r>
      <w:r w:rsidR="000E14DD">
        <w:rPr>
          <w:lang w:val="de-DE"/>
        </w:rPr>
        <w:t>rechtliche Ebene</w:t>
      </w:r>
    </w:p>
    <w:p w:rsidR="000E14DD" w:rsidRDefault="000E14DD" w:rsidP="000E14DD">
      <w:pPr>
        <w:spacing w:line="360" w:lineRule="auto"/>
        <w:jc w:val="both"/>
        <w:rPr>
          <w:rFonts w:ascii="Frutiger Linotype" w:hAnsi="Frutiger Linotype"/>
          <w:lang w:val="de-DE"/>
        </w:rPr>
      </w:pPr>
    </w:p>
    <w:p w:rsidR="000E14DD" w:rsidRPr="000E14DD" w:rsidRDefault="000E14DD" w:rsidP="000E14DD">
      <w:pPr>
        <w:spacing w:line="360" w:lineRule="auto"/>
        <w:jc w:val="both"/>
        <w:rPr>
          <w:rFonts w:ascii="Frutiger Linotype" w:hAnsi="Frutiger Linotype"/>
          <w:lang w:val="de-DE"/>
        </w:rPr>
      </w:pPr>
      <w:proofErr w:type="spellStart"/>
      <w:r w:rsidRPr="000E14DD">
        <w:rPr>
          <w:rFonts w:ascii="Frutiger Linotype" w:hAnsi="Frutiger Linotype"/>
          <w:lang w:val="de-DE"/>
        </w:rPr>
        <w:t>barkeit</w:t>
      </w:r>
      <w:proofErr w:type="spellEnd"/>
      <w:r w:rsidRPr="000E14DD">
        <w:rPr>
          <w:rFonts w:ascii="Frutiger Linotype" w:hAnsi="Frutiger Linotype"/>
          <w:lang w:val="de-DE"/>
        </w:rPr>
        <w:t xml:space="preserve"> des sexuellen Missbrauchs unter Ausnutzung eines Beratungs- / Behandlungs- oder Betreuungsverhältnisses</w:t>
      </w:r>
    </w:p>
    <w:p w:rsidR="00024F08" w:rsidRPr="00024F08" w:rsidRDefault="00024F08" w:rsidP="00024F08">
      <w:pPr>
        <w:spacing w:line="360" w:lineRule="auto"/>
        <w:jc w:val="both"/>
        <w:rPr>
          <w:rFonts w:ascii="Frutiger Linotype" w:hAnsi="Frutiger Linotype"/>
          <w:lang w:val="de-DE"/>
        </w:rPr>
      </w:pPr>
      <w:r w:rsidRPr="008B79BF">
        <w:rPr>
          <w:rFonts w:ascii="Frutiger Linotype" w:hAnsi="Frutiger Linotype"/>
          <w:lang w:val="de-DE"/>
        </w:rPr>
        <w:t>.</w:t>
      </w:r>
      <w:r w:rsidRPr="00024F08">
        <w:rPr>
          <w:rFonts w:ascii="Frutiger Linotype" w:hAnsi="Frutiger Linotype"/>
          <w:lang w:val="de-DE"/>
        </w:rPr>
        <w:t xml:space="preserve">. </w:t>
      </w:r>
    </w:p>
    <w:p w:rsidR="00B53E6C" w:rsidRDefault="000E14DD" w:rsidP="001D0AA3">
      <w:pPr>
        <w:pStyle w:val="berschrift1"/>
        <w:rPr>
          <w:lang w:val="de-DE"/>
        </w:rPr>
      </w:pPr>
      <w:r>
        <w:rPr>
          <w:lang w:val="de-DE"/>
        </w:rPr>
        <w:t>Berufsrechtliche Ebene</w:t>
      </w:r>
    </w:p>
    <w:p w:rsidR="000E14DD" w:rsidRDefault="000E14DD" w:rsidP="000E14DD">
      <w:pPr>
        <w:rPr>
          <w:lang w:val="de-DE"/>
        </w:rPr>
      </w:pPr>
    </w:p>
    <w:p w:rsidR="000E14DD" w:rsidRDefault="000E14DD" w:rsidP="000E14DD">
      <w:pPr>
        <w:rPr>
          <w:lang w:val="de-DE"/>
        </w:rPr>
      </w:pPr>
    </w:p>
    <w:p w:rsidR="000E14DD" w:rsidRDefault="000E14DD" w:rsidP="000E14DD">
      <w:pPr>
        <w:pStyle w:val="berschrift1"/>
        <w:rPr>
          <w:lang w:val="de-DE"/>
        </w:rPr>
      </w:pPr>
      <w:r>
        <w:rPr>
          <w:lang w:val="de-DE"/>
        </w:rPr>
        <w:t>Zivilrechtliche Ebene</w:t>
      </w:r>
    </w:p>
    <w:p w:rsidR="000E14DD" w:rsidRPr="000E14DD" w:rsidRDefault="000E14DD" w:rsidP="000E14DD">
      <w:pPr>
        <w:rPr>
          <w:lang w:val="de-DE"/>
        </w:rPr>
      </w:pPr>
    </w:p>
    <w:p w:rsidR="000E14DD" w:rsidRPr="000E14DD" w:rsidRDefault="000E14DD" w:rsidP="000E14DD">
      <w:pPr>
        <w:pStyle w:val="berschrift1"/>
        <w:rPr>
          <w:lang w:val="de-DE"/>
        </w:rPr>
        <w:sectPr w:rsidR="000E14DD" w:rsidRPr="000E14DD" w:rsidSect="005A0F63">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r>
        <w:rPr>
          <w:lang w:val="de-DE"/>
        </w:rPr>
        <w:t>Ethische Ebene</w:t>
      </w:r>
    </w:p>
    <w:p w:rsidR="006061B4" w:rsidRPr="00112A40" w:rsidRDefault="00024F08" w:rsidP="006061B4">
      <w:pPr>
        <w:jc w:val="both"/>
        <w:rPr>
          <w:sz w:val="28"/>
          <w:szCs w:val="28"/>
          <w:lang w:val="de-DE"/>
        </w:rPr>
      </w:pPr>
      <w:r>
        <w:rPr>
          <w:noProof/>
          <w:sz w:val="28"/>
          <w:szCs w:val="28"/>
          <w:lang w:val="de-DE" w:eastAsia="de-DE" w:bidi="ar-SA"/>
        </w:rPr>
        <w:lastRenderedPageBreak/>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Prof. Dr. Christof Stock, Am Ziegelweiher 12, 52066 Aachen</w:t>
                            </w:r>
                            <w:r w:rsidR="00E365B0">
                              <w:rPr>
                                <w:rFonts w:ascii="Arial" w:hAnsi="Arial" w:cs="Arial"/>
                                <w:sz w:val="16"/>
                                <w:szCs w:val="16"/>
                                <w:lang w:val="de-DE"/>
                              </w:rPr>
                              <w:t xml:space="preserve">, </w:t>
                            </w:r>
                            <w:hyperlink r:id="rId12"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3"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Prof. Dr. Christof Stock, Am Ziegelweiher 12, 52066 Aachen</w:t>
                      </w:r>
                      <w:r w:rsidR="00E365B0">
                        <w:rPr>
                          <w:rFonts w:ascii="Arial" w:hAnsi="Arial" w:cs="Arial"/>
                          <w:sz w:val="16"/>
                          <w:szCs w:val="16"/>
                          <w:lang w:val="de-DE"/>
                        </w:rPr>
                        <w:t xml:space="preserve">, </w:t>
                      </w:r>
                      <w:hyperlink r:id="rId14"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5"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025BA" w:rsidRPr="00112A40" w:rsidRDefault="00C56805" w:rsidP="00C56805">
      <w:pPr>
        <w:tabs>
          <w:tab w:val="left" w:pos="2250"/>
        </w:tabs>
        <w:rPr>
          <w:sz w:val="28"/>
          <w:szCs w:val="28"/>
          <w:lang w:val="de-DE"/>
        </w:rPr>
      </w:pPr>
      <w:r w:rsidRPr="00112A40">
        <w:rPr>
          <w:sz w:val="28"/>
          <w:szCs w:val="28"/>
          <w:lang w:val="de-DE"/>
        </w:rPr>
        <w:tab/>
      </w:r>
    </w:p>
    <w:sectPr w:rsidR="00C025BA" w:rsidRPr="00112A40" w:rsidSect="005A0F63">
      <w:headerReference w:type="even" r:id="rId16"/>
      <w:headerReference w:type="default" r:id="rId17"/>
      <w:footerReference w:type="even" r:id="rId18"/>
      <w:footerReference w:type="default" r:id="rId19"/>
      <w:foot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BF" w:rsidRDefault="008B79BF" w:rsidP="00BC14BF">
      <w:pPr>
        <w:spacing w:after="0" w:line="240" w:lineRule="auto"/>
      </w:pPr>
      <w:r>
        <w:separator/>
      </w:r>
    </w:p>
  </w:endnote>
  <w:endnote w:type="continuationSeparator" w:id="0">
    <w:p w:rsidR="008B79BF" w:rsidRDefault="008B79BF"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Calibri"/>
    <w:charset w:val="00"/>
    <w:family w:val="swiss"/>
    <w:pitch w:val="variable"/>
    <w:sig w:usb0="0000008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594" w:rsidRPr="00060495" w:rsidRDefault="00A25FA4" w:rsidP="00081776">
    <w:pPr>
      <w:pStyle w:val="Fuzeile"/>
      <w:pBdr>
        <w:top w:val="single" w:sz="4" w:space="1" w:color="BFBFBF"/>
      </w:pBdr>
      <w:tabs>
        <w:tab w:val="clear" w:pos="9072"/>
        <w:tab w:val="left" w:pos="4962"/>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982568">
          <w:rPr>
            <w:color w:val="7F7F7F"/>
            <w:sz w:val="20"/>
            <w:szCs w:val="20"/>
            <w:lang w:val="de-DE"/>
          </w:rPr>
          <w:t>winadmin</w:t>
        </w:r>
        <w:proofErr w:type="spellEnd"/>
      </w:sdtContent>
    </w:sdt>
    <w:r w:rsidR="00D42DE2">
      <w:rPr>
        <w:color w:val="7F7F7F"/>
        <w:sz w:val="20"/>
        <w:szCs w:val="20"/>
        <w:lang w:val="de-DE"/>
      </w:rPr>
      <w:tab/>
    </w:r>
    <w:r w:rsidR="00D42DE2">
      <w:rPr>
        <w:color w:val="7F7F7F"/>
        <w:sz w:val="20"/>
        <w:szCs w:val="20"/>
        <w:lang w:val="de-DE"/>
      </w:rPr>
      <w:tab/>
    </w:r>
    <w:sdt>
      <w:sdtPr>
        <w:rPr>
          <w:color w:val="7F7F7F"/>
          <w:sz w:val="20"/>
          <w:szCs w:val="20"/>
          <w:lang w:val="de-DE"/>
        </w:rPr>
        <w:alias w:val="Titel"/>
        <w:id w:val="23002255"/>
        <w:dataBinding w:prefixMappings="xmlns:ns0='http://purl.org/dc/elements/1.1/' xmlns:ns1='http://schemas.openxmlformats.org/package/2006/metadata/core-properties' " w:xpath="/ns1:coreProperties[1]/ns0:title[1]" w:storeItemID="{6C3C8BC8-F283-45AE-878A-BAB7291924A1}"/>
        <w:text/>
      </w:sdtPr>
      <w:sdtEndPr/>
      <w:sdtContent>
        <w:r w:rsidR="000E14DD">
          <w:rPr>
            <w:color w:val="7F7F7F"/>
            <w:sz w:val="20"/>
            <w:szCs w:val="20"/>
            <w:lang w:val="de-DE"/>
          </w:rPr>
          <w:t>Die Pflegereform 2013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05" w:rsidRPr="006061B4" w:rsidRDefault="00C56805" w:rsidP="00C56805">
    <w:pPr>
      <w:pStyle w:val="Fuzeile"/>
      <w:tabs>
        <w:tab w:val="clear" w:pos="4536"/>
        <w:tab w:val="clear" w:pos="9072"/>
        <w:tab w:val="center" w:pos="4820"/>
        <w:tab w:val="left" w:pos="4962"/>
        <w:tab w:val="left" w:pos="5387"/>
      </w:tabs>
      <w:jc w:val="both"/>
      <w:rPr>
        <w:color w:val="7F7F7F"/>
        <w:sz w:val="20"/>
        <w:szCs w:val="20"/>
        <w:lang w:val="de-DE"/>
      </w:rPr>
    </w:pPr>
  </w:p>
  <w:p w:rsidR="00C56805" w:rsidRPr="006061B4" w:rsidRDefault="00C56805" w:rsidP="00D42DE2">
    <w:pPr>
      <w:pStyle w:val="Fuzeile"/>
      <w:pBdr>
        <w:top w:val="single" w:sz="4" w:space="1" w:color="BFBFBF"/>
      </w:pBdr>
      <w:tabs>
        <w:tab w:val="clear" w:pos="4536"/>
        <w:tab w:val="clear" w:pos="9072"/>
        <w:tab w:val="center" w:pos="4678"/>
        <w:tab w:val="left" w:pos="7655"/>
      </w:tabs>
      <w:jc w:val="both"/>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D42DE2">
      <w:rPr>
        <w:color w:val="FF0000"/>
        <w:sz w:val="20"/>
        <w:szCs w:val="20"/>
        <w:lang w:val="de-DE"/>
      </w:rPr>
      <w:tab/>
    </w:r>
    <w:r w:rsidR="00D42DE2">
      <w:rPr>
        <w:color w:val="808080" w:themeColor="background1" w:themeShade="80"/>
        <w:sz w:val="20"/>
        <w:szCs w:val="20"/>
        <w:lang w:val="de-DE"/>
      </w:rPr>
      <w:t>Kurzbeitrag</w:t>
    </w:r>
  </w:p>
  <w:p w:rsidR="0006742D" w:rsidRPr="006061B4" w:rsidRDefault="0006742D" w:rsidP="009F3828">
    <w:pPr>
      <w:pStyle w:val="Fuzeile"/>
      <w:pBdr>
        <w:top w:val="single" w:sz="4" w:space="1" w:color="BFBFBF"/>
      </w:pBdr>
      <w:rPr>
        <w:lang w:val="de-DE"/>
      </w:rPr>
    </w:pPr>
  </w:p>
  <w:p w:rsidR="00E04594" w:rsidRPr="006061B4" w:rsidRDefault="00E04594" w:rsidP="00BC14BF">
    <w:pPr>
      <w:pStyle w:val="Fuzeile"/>
      <w:jc w:val="right"/>
      <w:rPr>
        <w:rFonts w:cs="Calibri"/>
        <w:sz w:val="18"/>
        <w:szCs w:val="18"/>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F63" w:rsidRDefault="005A0F6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F63" w:rsidRDefault="005A0F6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A64" w:rsidRPr="006061B4" w:rsidRDefault="00536A64" w:rsidP="00C56805">
    <w:pPr>
      <w:pStyle w:val="Fuzeile"/>
      <w:tabs>
        <w:tab w:val="clear" w:pos="4536"/>
        <w:tab w:val="clear" w:pos="9072"/>
        <w:tab w:val="center" w:pos="4820"/>
        <w:tab w:val="left" w:pos="4962"/>
        <w:tab w:val="left" w:pos="5387"/>
      </w:tabs>
      <w:jc w:val="both"/>
      <w:rPr>
        <w:color w:val="7F7F7F"/>
        <w:sz w:val="20"/>
        <w:szCs w:val="20"/>
        <w:lang w:val="de-DE"/>
      </w:rPr>
    </w:pPr>
  </w:p>
  <w:p w:rsidR="00536A64" w:rsidRPr="00400D36" w:rsidRDefault="00536A64" w:rsidP="005A0F63">
    <w:pPr>
      <w:pStyle w:val="Fuzeile"/>
      <w:pBdr>
        <w:top w:val="single" w:sz="4" w:space="1" w:color="BFBFBF"/>
      </w:pBdr>
      <w:tabs>
        <w:tab w:val="clear" w:pos="4536"/>
        <w:tab w:val="clear" w:pos="9072"/>
        <w:tab w:val="center" w:pos="4678"/>
        <w:tab w:val="left" w:pos="5103"/>
      </w:tabs>
      <w:jc w:val="both"/>
    </w:pPr>
    <w:r w:rsidRPr="00400D36">
      <w:rPr>
        <w:color w:val="7F7F7F"/>
        <w:sz w:val="20"/>
        <w:szCs w:val="20"/>
      </w:rPr>
      <w:t>©Prof. Dr. iur. Christof Stock, Aachen</w:t>
    </w:r>
    <w:r w:rsidRPr="00400D36">
      <w:rPr>
        <w:color w:val="FF0000"/>
        <w:sz w:val="20"/>
        <w:szCs w:val="20"/>
      </w:rPr>
      <w:t xml:space="preserve"> </w:t>
    </w:r>
  </w:p>
  <w:p w:rsidR="00536A64" w:rsidRPr="00400D36" w:rsidRDefault="00536A64" w:rsidP="00BC14BF">
    <w:pPr>
      <w:pStyle w:val="Fuzeile"/>
      <w:jc w:val="right"/>
      <w:rPr>
        <w:rFonts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BF" w:rsidRDefault="008B79BF" w:rsidP="00BC14BF">
      <w:pPr>
        <w:spacing w:after="0" w:line="240" w:lineRule="auto"/>
      </w:pPr>
      <w:r>
        <w:separator/>
      </w:r>
    </w:p>
  </w:footnote>
  <w:footnote w:type="continuationSeparator" w:id="0">
    <w:p w:rsidR="008B79BF" w:rsidRDefault="008B79BF" w:rsidP="00BC14BF">
      <w:pPr>
        <w:spacing w:after="0" w:line="240" w:lineRule="auto"/>
      </w:pPr>
      <w:r>
        <w:continuationSeparator/>
      </w:r>
    </w:p>
  </w:footnote>
  <w:footnote w:id="1">
    <w:p w:rsidR="00081776" w:rsidRDefault="00081776">
      <w:pPr>
        <w:pStyle w:val="Funotentext"/>
      </w:pPr>
      <w:r>
        <w:rPr>
          <w:rStyle w:val="Funotenzeichen"/>
        </w:rPr>
        <w:footnoteRef/>
      </w:r>
      <w:r>
        <w:t xml:space="preserve"> </w:t>
      </w:r>
      <w:r>
        <w:fldChar w:fldCharType="begin"/>
      </w:r>
      <w:r>
        <w:instrText>ADDIN CITAVI.PLACEHOLDER 95559a59-464d-4ce5-b13f-e7ddccdf5920 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xhbmRlc2JlcnVmc2dlcmljaHQgZsO8ciBIZWlsYmVydWZlIEdpZXNzZW4sIE1lZFIgMzYgMjAxOCwgMTIyIGZmLjwvVGV4dD4NCiAgICA8L1RleHRVbml0Pg0KICA8L1RleHRVbml0cz4NCjwvUGxhY2Vob2xkZXI+</w:instrText>
      </w:r>
      <w:r>
        <w:fldChar w:fldCharType="separate"/>
      </w:r>
      <w:bookmarkStart w:id="0" w:name="_CTVP00195559a59464d4ce5b13fe7ddccdf5920"/>
      <w:r>
        <w:t>Landesberufsgericht für Heilberufe Giessen, MedR 36 2018, 122 ff.</w:t>
      </w:r>
      <w:bookmarkEnd w:id="0"/>
      <w:r>
        <w:fldChar w:fldCharType="end"/>
      </w:r>
    </w:p>
  </w:footnote>
  <w:footnote w:id="2">
    <w:p w:rsidR="00E41DB2" w:rsidRDefault="00E41DB2">
      <w:pPr>
        <w:pStyle w:val="Funotentext"/>
      </w:pPr>
      <w:r>
        <w:rPr>
          <w:rStyle w:val="Funotenzeichen"/>
        </w:rPr>
        <w:footnoteRef/>
      </w:r>
      <w:r>
        <w:t xml:space="preserve"> </w:t>
      </w:r>
      <w:r>
        <w:fldChar w:fldCharType="begin"/>
      </w:r>
      <w:r>
        <w:instrText>ADDIN CITAVI.PLACEHOLDER 7645cd7f-a562-4040-b714-c534fe1a975e 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CVmVyZkcsIE5KVyAxOTc5LCAxOTI1IGZmLjwvVGV4dD4NCiAgICA8L1RleHRVbml0Pg0KICA8L1RleHRVbml0cz4NCjwvUGxhY2Vob2xkZXI+</w:instrText>
      </w:r>
      <w:r>
        <w:fldChar w:fldCharType="separate"/>
      </w:r>
      <w:bookmarkStart w:id="1" w:name="_CTVP0017645cd7fa5624040b714c534fe1a975e"/>
      <w:r>
        <w:t>BVerfG, NJW 1979, 1925 ff.</w:t>
      </w:r>
      <w:bookmarkEnd w:id="1"/>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55F6AE3A" wp14:editId="7386CD92">
          <wp:extent cx="2772538" cy="342900"/>
          <wp:effectExtent l="19050" t="0" r="8762" b="0"/>
          <wp:docPr id="2"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060495">
      <w:rPr>
        <w:color w:val="7F7F7F"/>
        <w:spacing w:val="60"/>
        <w:lang w:val="de-DE"/>
      </w:rPr>
      <w:t xml:space="preserve">RdGS </w:t>
    </w:r>
    <w:r w:rsidR="00112D74">
      <w:rPr>
        <w:color w:val="7F7F7F"/>
        <w:spacing w:val="60"/>
        <w:lang w:val="de-DE"/>
      </w:rPr>
      <w:t>2</w:t>
    </w:r>
    <w:r w:rsidR="00060495">
      <w:rPr>
        <w:color w:val="7F7F7F"/>
        <w:spacing w:val="60"/>
        <w:lang w:val="de-DE"/>
      </w:rPr>
      <w:t>/201</w:t>
    </w:r>
    <w:r w:rsidR="003B08DA">
      <w:rPr>
        <w:color w:val="7F7F7F"/>
        <w:spacing w:val="60"/>
        <w:lang w:val="de-DE"/>
      </w:rPr>
      <w:t>8</w:t>
    </w:r>
    <w:r w:rsidR="00E04594" w:rsidRPr="00060495">
      <w:rPr>
        <w:lang w:val="de-DE"/>
      </w:rPr>
      <w:t xml:space="preserve"> | </w:t>
    </w:r>
    <w:r w:rsidR="00EA6B50">
      <w:fldChar w:fldCharType="begin"/>
    </w:r>
    <w:r w:rsidR="0010642F" w:rsidRPr="00060495">
      <w:rPr>
        <w:lang w:val="de-DE"/>
      </w:rPr>
      <w:instrText xml:space="preserve"> PAGE   \* MERGEFORMAT </w:instrText>
    </w:r>
    <w:r w:rsidR="00EA6B50">
      <w:fldChar w:fldCharType="separate"/>
    </w:r>
    <w:r w:rsidR="001D0AA3" w:rsidRPr="001D0AA3">
      <w:rPr>
        <w:b/>
        <w:noProof/>
        <w:lang w:val="de-DE"/>
      </w:rPr>
      <w:t>2</w:t>
    </w:r>
    <w:r w:rsidR="00EA6B50">
      <w:fldChar w:fldCharType="end"/>
    </w:r>
  </w:p>
  <w:p w:rsidR="00E04594" w:rsidRPr="00060495" w:rsidRDefault="00E04594">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DE2" w:rsidRDefault="00D42DE2" w:rsidP="00060495">
    <w:pPr>
      <w:pStyle w:val="Kopfzeile"/>
      <w:pBdr>
        <w:bottom w:val="single" w:sz="4" w:space="1" w:color="BFBFBF"/>
      </w:pBdr>
      <w:tabs>
        <w:tab w:val="left" w:pos="1134"/>
      </w:tabs>
      <w:rPr>
        <w:color w:val="7F7F7F"/>
        <w:spacing w:val="60"/>
        <w:lang w:val="de-DE"/>
      </w:rPr>
    </w:pPr>
    <w:r w:rsidRPr="00D42DE2">
      <w:rPr>
        <w:noProof/>
        <w:color w:val="7F7F7F"/>
        <w:spacing w:val="60"/>
        <w:lang w:val="de-DE" w:eastAsia="de-DE" w:bidi="ar-SA"/>
      </w:rPr>
      <w:drawing>
        <wp:inline distT="0" distB="0" distL="0" distR="0" wp14:anchorId="15894677" wp14:editId="4E60F069">
          <wp:extent cx="5760720" cy="692998"/>
          <wp:effectExtent l="19050" t="0" r="0" b="0"/>
          <wp:docPr id="1"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5760720" cy="692998"/>
                  </a:xfrm>
                  <a:prstGeom prst="rect">
                    <a:avLst/>
                  </a:prstGeom>
                </pic:spPr>
              </pic:pic>
            </a:graphicData>
          </a:graphic>
        </wp:inline>
      </w:drawing>
    </w:r>
  </w:p>
  <w:p w:rsidR="00D42DE2" w:rsidRDefault="00D42DE2" w:rsidP="00060495">
    <w:pPr>
      <w:pStyle w:val="Kopfzeile"/>
      <w:pBdr>
        <w:bottom w:val="single" w:sz="4" w:space="1" w:color="BFBFBF"/>
      </w:pBdr>
      <w:tabs>
        <w:tab w:val="left" w:pos="1134"/>
      </w:tabs>
      <w:rPr>
        <w:color w:val="7F7F7F"/>
        <w:spacing w:val="60"/>
        <w:lang w:val="de-DE"/>
      </w:rPr>
    </w:pPr>
  </w:p>
  <w:p w:rsidR="00E04594" w:rsidRPr="00462D53" w:rsidRDefault="008B79BF" w:rsidP="00060495">
    <w:pPr>
      <w:pStyle w:val="Kopfzeile"/>
      <w:pBdr>
        <w:bottom w:val="single" w:sz="4" w:space="1" w:color="BFBFBF"/>
      </w:pBdr>
      <w:tabs>
        <w:tab w:val="left" w:pos="1134"/>
      </w:tabs>
      <w:rPr>
        <w:color w:val="7F7F7F"/>
        <w:spacing w:val="60"/>
        <w:lang w:val="de-DE"/>
      </w:rPr>
    </w:pPr>
    <w:r>
      <w:rPr>
        <w:color w:val="7F7F7F"/>
        <w:spacing w:val="60"/>
        <w:lang w:val="de-DE"/>
      </w:rPr>
      <w:t>Themenfeld:</w:t>
    </w:r>
    <w:r w:rsidR="00081776">
      <w:rPr>
        <w:color w:val="7F7F7F"/>
        <w:spacing w:val="60"/>
        <w:lang w:val="de-DE"/>
      </w:rPr>
      <w:t xml:space="preserve"> Psychotherapie</w:t>
    </w:r>
    <w:r w:rsidR="00060495">
      <w:rPr>
        <w:color w:val="7F7F7F"/>
        <w:spacing w:val="60"/>
        <w:lang w:val="de-DE"/>
      </w:rPr>
      <w:tab/>
    </w:r>
    <w:r w:rsidR="0006742D" w:rsidRPr="00462D53">
      <w:rPr>
        <w:color w:val="7F7F7F"/>
        <w:spacing w:val="60"/>
        <w:lang w:val="de-DE"/>
      </w:rPr>
      <w:t xml:space="preserve">RdGS </w:t>
    </w:r>
    <w:r w:rsidR="00024F08">
      <w:rPr>
        <w:color w:val="7F7F7F"/>
        <w:spacing w:val="60"/>
        <w:lang w:val="de-DE"/>
      </w:rPr>
      <w:t>2</w:t>
    </w:r>
    <w:r w:rsidR="00D1308F">
      <w:rPr>
        <w:color w:val="7F7F7F"/>
        <w:spacing w:val="60"/>
        <w:lang w:val="de-DE"/>
      </w:rPr>
      <w:t>/201</w:t>
    </w:r>
    <w:r>
      <w:rPr>
        <w:color w:val="7F7F7F"/>
        <w:spacing w:val="60"/>
        <w:lang w:val="de-DE"/>
      </w:rPr>
      <w:t>8</w:t>
    </w:r>
    <w:r w:rsidR="00E04594" w:rsidRPr="00462D53">
      <w:rPr>
        <w:lang w:val="de-DE"/>
      </w:rPr>
      <w:t>|</w:t>
    </w:r>
    <w:r w:rsidR="00060495">
      <w:rPr>
        <w:lang w:val="de-DE"/>
      </w:rPr>
      <w:t xml:space="preserve"> </w:t>
    </w:r>
    <w:r w:rsidR="00EA6B50" w:rsidRPr="00060495">
      <w:rPr>
        <w:b/>
        <w:lang w:val="de-DE"/>
      </w:rPr>
      <w:fldChar w:fldCharType="begin"/>
    </w:r>
    <w:r w:rsidR="00060495" w:rsidRPr="00060495">
      <w:rPr>
        <w:b/>
        <w:lang w:val="de-DE"/>
      </w:rPr>
      <w:instrText xml:space="preserve"> PAGE  \* Arabic  \* MERGEFORMAT </w:instrText>
    </w:r>
    <w:r w:rsidR="00EA6B50" w:rsidRPr="00060495">
      <w:rPr>
        <w:b/>
        <w:lang w:val="de-DE"/>
      </w:rPr>
      <w:fldChar w:fldCharType="separate"/>
    </w:r>
    <w:r w:rsidR="001D0AA3">
      <w:rPr>
        <w:b/>
        <w:noProof/>
        <w:lang w:val="de-DE"/>
      </w:rPr>
      <w:t>1</w:t>
    </w:r>
    <w:r w:rsidR="00EA6B50" w:rsidRPr="00060495">
      <w:rPr>
        <w:b/>
        <w:lang w:val="de-DE"/>
      </w:rPr>
      <w:fldChar w:fldCharType="end"/>
    </w:r>
    <w:r w:rsidR="00E04594" w:rsidRPr="00060495">
      <w:rPr>
        <w:b/>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F63" w:rsidRDefault="005A0F6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F63" w:rsidRDefault="005A0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ktennummer" w:val="????????!???"/>
    <w:docVar w:name="AnzahlAusdruck" w:val="&lt;"/>
    <w:docVar w:name="Bemerkung" w:val="w:docVa"/>
    <w:docVar w:name="BriefDatOrig" w:val="???????!???"/>
    <w:docVar w:name="DICTASAVE" w:val="&lt;&gt;?“???#?$?+?+?.?/?&gt;?L?e?u?z?‰?“?—?œ?£?¥?ª?»?¼?Â?Ä?È?Ú?ó?ö?û?ü?þ"/>
    <w:docVar w:name="DmsSwR" w:val="w:docVa"/>
  </w:docVars>
  <w:rsids>
    <w:rsidRoot w:val="008B79BF"/>
    <w:rsid w:val="00024F08"/>
    <w:rsid w:val="000434E7"/>
    <w:rsid w:val="0005141B"/>
    <w:rsid w:val="00056C49"/>
    <w:rsid w:val="00060495"/>
    <w:rsid w:val="0006742D"/>
    <w:rsid w:val="00081776"/>
    <w:rsid w:val="00085615"/>
    <w:rsid w:val="000905CE"/>
    <w:rsid w:val="00097DB7"/>
    <w:rsid w:val="000C11AA"/>
    <w:rsid w:val="000C4555"/>
    <w:rsid w:val="000C75D4"/>
    <w:rsid w:val="000E14DD"/>
    <w:rsid w:val="0010642F"/>
    <w:rsid w:val="00112A40"/>
    <w:rsid w:val="00112D74"/>
    <w:rsid w:val="001475DA"/>
    <w:rsid w:val="0019417D"/>
    <w:rsid w:val="001D0AA3"/>
    <w:rsid w:val="001E5C72"/>
    <w:rsid w:val="001F79B5"/>
    <w:rsid w:val="00205330"/>
    <w:rsid w:val="00216117"/>
    <w:rsid w:val="0023107E"/>
    <w:rsid w:val="002424F9"/>
    <w:rsid w:val="00242BD0"/>
    <w:rsid w:val="00251B25"/>
    <w:rsid w:val="002B0613"/>
    <w:rsid w:val="002B1358"/>
    <w:rsid w:val="002C41D0"/>
    <w:rsid w:val="002C4665"/>
    <w:rsid w:val="002E04A6"/>
    <w:rsid w:val="002E76B8"/>
    <w:rsid w:val="002F1EB8"/>
    <w:rsid w:val="002F73C5"/>
    <w:rsid w:val="00305979"/>
    <w:rsid w:val="00342CB1"/>
    <w:rsid w:val="00382DDA"/>
    <w:rsid w:val="00394E62"/>
    <w:rsid w:val="003B08DA"/>
    <w:rsid w:val="00400D36"/>
    <w:rsid w:val="00420025"/>
    <w:rsid w:val="00423754"/>
    <w:rsid w:val="00462D53"/>
    <w:rsid w:val="004B35D6"/>
    <w:rsid w:val="004B43F3"/>
    <w:rsid w:val="004C048B"/>
    <w:rsid w:val="004C40D4"/>
    <w:rsid w:val="00536A64"/>
    <w:rsid w:val="005372EA"/>
    <w:rsid w:val="00584837"/>
    <w:rsid w:val="005A0F63"/>
    <w:rsid w:val="005A4CFD"/>
    <w:rsid w:val="005B324C"/>
    <w:rsid w:val="005F094E"/>
    <w:rsid w:val="006061B4"/>
    <w:rsid w:val="00610C6C"/>
    <w:rsid w:val="006557BE"/>
    <w:rsid w:val="00696A78"/>
    <w:rsid w:val="00704E7A"/>
    <w:rsid w:val="0071146B"/>
    <w:rsid w:val="00723D83"/>
    <w:rsid w:val="00753385"/>
    <w:rsid w:val="007664D8"/>
    <w:rsid w:val="00770061"/>
    <w:rsid w:val="0077095F"/>
    <w:rsid w:val="007746D6"/>
    <w:rsid w:val="00782594"/>
    <w:rsid w:val="007A4B30"/>
    <w:rsid w:val="00810F70"/>
    <w:rsid w:val="00820ED3"/>
    <w:rsid w:val="00866160"/>
    <w:rsid w:val="00871FD5"/>
    <w:rsid w:val="008875AF"/>
    <w:rsid w:val="00892287"/>
    <w:rsid w:val="008B79BF"/>
    <w:rsid w:val="008D36B3"/>
    <w:rsid w:val="008F143A"/>
    <w:rsid w:val="0090514E"/>
    <w:rsid w:val="009708B2"/>
    <w:rsid w:val="00982568"/>
    <w:rsid w:val="009A0F91"/>
    <w:rsid w:val="009C2224"/>
    <w:rsid w:val="009F3828"/>
    <w:rsid w:val="00A25FA4"/>
    <w:rsid w:val="00A32AA5"/>
    <w:rsid w:val="00A3678B"/>
    <w:rsid w:val="00A43921"/>
    <w:rsid w:val="00A564C4"/>
    <w:rsid w:val="00A622F1"/>
    <w:rsid w:val="00AA5D21"/>
    <w:rsid w:val="00AB3A0B"/>
    <w:rsid w:val="00AD64CC"/>
    <w:rsid w:val="00B02473"/>
    <w:rsid w:val="00B243B2"/>
    <w:rsid w:val="00B26956"/>
    <w:rsid w:val="00B53E6C"/>
    <w:rsid w:val="00B600FF"/>
    <w:rsid w:val="00B865CD"/>
    <w:rsid w:val="00B9414F"/>
    <w:rsid w:val="00BB165F"/>
    <w:rsid w:val="00BC14BF"/>
    <w:rsid w:val="00BE4057"/>
    <w:rsid w:val="00C005D1"/>
    <w:rsid w:val="00C025BA"/>
    <w:rsid w:val="00C23674"/>
    <w:rsid w:val="00C25478"/>
    <w:rsid w:val="00C310B0"/>
    <w:rsid w:val="00C4442E"/>
    <w:rsid w:val="00C4582C"/>
    <w:rsid w:val="00C5180E"/>
    <w:rsid w:val="00C56805"/>
    <w:rsid w:val="00C70CAC"/>
    <w:rsid w:val="00C85D25"/>
    <w:rsid w:val="00D1308F"/>
    <w:rsid w:val="00D15280"/>
    <w:rsid w:val="00D1614B"/>
    <w:rsid w:val="00D35DC8"/>
    <w:rsid w:val="00D42DE2"/>
    <w:rsid w:val="00D63B41"/>
    <w:rsid w:val="00DA1A1C"/>
    <w:rsid w:val="00DC178F"/>
    <w:rsid w:val="00E04594"/>
    <w:rsid w:val="00E15CA0"/>
    <w:rsid w:val="00E365B0"/>
    <w:rsid w:val="00E4158A"/>
    <w:rsid w:val="00E41DB2"/>
    <w:rsid w:val="00E53EDF"/>
    <w:rsid w:val="00E7176A"/>
    <w:rsid w:val="00EA6B50"/>
    <w:rsid w:val="00EC56F9"/>
    <w:rsid w:val="00EC5D7D"/>
    <w:rsid w:val="00EE199F"/>
    <w:rsid w:val="00EE7CD7"/>
    <w:rsid w:val="00F20001"/>
    <w:rsid w:val="00F258E8"/>
    <w:rsid w:val="00F3591F"/>
    <w:rsid w:val="00F617CC"/>
    <w:rsid w:val="00F61E8C"/>
    <w:rsid w:val="00F826AE"/>
    <w:rsid w:val="00F877CC"/>
    <w:rsid w:val="00FA28CB"/>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77B1E8B"/>
  <w15:docId w15:val="{BFA6A896-3B39-4557-8462-725013B9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 w:type="paragraph" w:customStyle="1" w:styleId="CitaviBibliographyEntry">
    <w:name w:val="Citavi Bibliography Entry"/>
    <w:basedOn w:val="Standard"/>
    <w:link w:val="CitaviBibliographyEntryZchn"/>
    <w:rsid w:val="00081776"/>
    <w:pPr>
      <w:spacing w:after="60"/>
    </w:pPr>
    <w:rPr>
      <w:rFonts w:ascii="Calibri" w:eastAsia="Times New Roman" w:hAnsi="Calibri" w:cs="Times New Roman"/>
      <w:sz w:val="20"/>
      <w:szCs w:val="20"/>
      <w:lang w:val="de-DE" w:eastAsia="de-DE" w:bidi="ar-SA"/>
    </w:rPr>
  </w:style>
  <w:style w:type="character" w:customStyle="1" w:styleId="CitaviBibliographyEntryZchn">
    <w:name w:val="Citavi Bibliography Entry Zchn"/>
    <w:basedOn w:val="FunotentextZchn"/>
    <w:link w:val="CitaviBibliographyEntry"/>
    <w:rsid w:val="00081776"/>
    <w:rPr>
      <w:rFonts w:ascii="Calibri" w:eastAsia="Times New Roman" w:hAnsi="Calibri" w:cs="Times New Roman"/>
      <w:sz w:val="20"/>
      <w:szCs w:val="20"/>
      <w:lang w:val="de-DE" w:eastAsia="de-DE" w:bidi="ar-SA"/>
    </w:rPr>
  </w:style>
  <w:style w:type="paragraph" w:customStyle="1" w:styleId="CitaviBibliographyHeading">
    <w:name w:val="Citavi Bibliography Heading"/>
    <w:basedOn w:val="berschrift1"/>
    <w:link w:val="CitaviBibliographyHeadingZchn"/>
    <w:rsid w:val="00081776"/>
  </w:style>
  <w:style w:type="character" w:customStyle="1" w:styleId="CitaviBibliographyHeadingZchn">
    <w:name w:val="Citavi Bibliography Heading Zchn"/>
    <w:basedOn w:val="FunotentextZchn"/>
    <w:link w:val="CitaviBibliographyHeading"/>
    <w:rsid w:val="00081776"/>
    <w:rPr>
      <w:rFonts w:ascii="Calibri" w:eastAsia="Times New Roman" w:hAnsi="Calibri" w:cs="Times New Roman"/>
      <w:smallCaps/>
      <w:spacing w:val="5"/>
      <w:sz w:val="36"/>
      <w:szCs w:val="36"/>
      <w:lang w:val="de-DE" w:eastAsia="de-DE" w:bidi="ar-SA"/>
    </w:rPr>
  </w:style>
  <w:style w:type="paragraph" w:customStyle="1" w:styleId="CitaviBibliographySubheading1">
    <w:name w:val="Citavi Bibliography Subheading 1"/>
    <w:basedOn w:val="berschrift2"/>
    <w:link w:val="CitaviBibliographySubheading1Zchn"/>
    <w:rsid w:val="00081776"/>
    <w:pPr>
      <w:outlineLvl w:val="9"/>
    </w:pPr>
    <w:rPr>
      <w:rFonts w:ascii="Calibri" w:eastAsia="Times New Roman" w:hAnsi="Calibri" w:cs="Times New Roman"/>
      <w:lang w:val="de-DE" w:eastAsia="de-DE" w:bidi="ar-SA"/>
    </w:rPr>
  </w:style>
  <w:style w:type="character" w:customStyle="1" w:styleId="CitaviBibliographySubheading1Zchn">
    <w:name w:val="Citavi Bibliography Subheading 1 Zchn"/>
    <w:basedOn w:val="FunotentextZchn"/>
    <w:link w:val="CitaviBibliographySubheading1"/>
    <w:rsid w:val="00081776"/>
    <w:rPr>
      <w:rFonts w:ascii="Calibri" w:eastAsia="Times New Roman" w:hAnsi="Calibri" w:cs="Times New Roman"/>
      <w:smallCaps/>
      <w:sz w:val="28"/>
      <w:szCs w:val="28"/>
      <w:lang w:val="de-DE" w:eastAsia="de-DE" w:bidi="ar-SA"/>
    </w:rPr>
  </w:style>
  <w:style w:type="paragraph" w:customStyle="1" w:styleId="CitaviBibliographySubheading2">
    <w:name w:val="Citavi Bibliography Subheading 2"/>
    <w:basedOn w:val="berschrift3"/>
    <w:link w:val="CitaviBibliographySubheading2Zchn"/>
    <w:rsid w:val="00081776"/>
    <w:pPr>
      <w:outlineLvl w:val="9"/>
    </w:pPr>
    <w:rPr>
      <w:rFonts w:ascii="Calibri" w:eastAsia="Times New Roman" w:hAnsi="Calibri" w:cs="Times New Roman"/>
      <w:lang w:val="de-DE" w:eastAsia="de-DE" w:bidi="ar-SA"/>
    </w:rPr>
  </w:style>
  <w:style w:type="character" w:customStyle="1" w:styleId="CitaviBibliographySubheading2Zchn">
    <w:name w:val="Citavi Bibliography Subheading 2 Zchn"/>
    <w:basedOn w:val="FunotentextZchn"/>
    <w:link w:val="CitaviBibliographySubheading2"/>
    <w:rsid w:val="00081776"/>
    <w:rPr>
      <w:rFonts w:ascii="Calibri" w:eastAsia="Times New Roman" w:hAnsi="Calibri" w:cs="Times New Roman"/>
      <w:i/>
      <w:iCs/>
      <w:smallCaps/>
      <w:spacing w:val="5"/>
      <w:sz w:val="26"/>
      <w:szCs w:val="26"/>
      <w:lang w:val="de-DE" w:eastAsia="de-DE" w:bidi="ar-SA"/>
    </w:rPr>
  </w:style>
  <w:style w:type="paragraph" w:customStyle="1" w:styleId="CitaviBibliographySubheading3">
    <w:name w:val="Citavi Bibliography Subheading 3"/>
    <w:basedOn w:val="berschrift4"/>
    <w:link w:val="CitaviBibliographySubheading3Zchn"/>
    <w:rsid w:val="00081776"/>
    <w:pPr>
      <w:outlineLvl w:val="9"/>
    </w:pPr>
    <w:rPr>
      <w:rFonts w:ascii="Calibri" w:eastAsia="Times New Roman" w:hAnsi="Calibri" w:cs="Times New Roman"/>
      <w:lang w:val="de-DE" w:eastAsia="de-DE" w:bidi="ar-SA"/>
    </w:rPr>
  </w:style>
  <w:style w:type="character" w:customStyle="1" w:styleId="CitaviBibliographySubheading3Zchn">
    <w:name w:val="Citavi Bibliography Subheading 3 Zchn"/>
    <w:basedOn w:val="FunotentextZchn"/>
    <w:link w:val="CitaviBibliographySubheading3"/>
    <w:rsid w:val="00081776"/>
    <w:rPr>
      <w:rFonts w:ascii="Calibri" w:eastAsia="Times New Roman" w:hAnsi="Calibri" w:cs="Times New Roman"/>
      <w:b/>
      <w:bCs/>
      <w:spacing w:val="5"/>
      <w:sz w:val="24"/>
      <w:szCs w:val="24"/>
      <w:lang w:val="de-DE" w:eastAsia="de-DE" w:bidi="ar-SA"/>
    </w:rPr>
  </w:style>
  <w:style w:type="paragraph" w:customStyle="1" w:styleId="CitaviBibliographySubheading4">
    <w:name w:val="Citavi Bibliography Subheading 4"/>
    <w:basedOn w:val="berschrift5"/>
    <w:link w:val="CitaviBibliographySubheading4Zchn"/>
    <w:rsid w:val="00081776"/>
    <w:pPr>
      <w:outlineLvl w:val="9"/>
    </w:pPr>
    <w:rPr>
      <w:rFonts w:ascii="Calibri" w:eastAsia="Times New Roman" w:hAnsi="Calibri" w:cs="Times New Roman"/>
      <w:lang w:val="de-DE" w:eastAsia="de-DE" w:bidi="ar-SA"/>
    </w:rPr>
  </w:style>
  <w:style w:type="character" w:customStyle="1" w:styleId="CitaviBibliographySubheading4Zchn">
    <w:name w:val="Citavi Bibliography Subheading 4 Zchn"/>
    <w:basedOn w:val="FunotentextZchn"/>
    <w:link w:val="CitaviBibliographySubheading4"/>
    <w:rsid w:val="00081776"/>
    <w:rPr>
      <w:rFonts w:ascii="Calibri" w:eastAsia="Times New Roman" w:hAnsi="Calibri" w:cs="Times New Roman"/>
      <w:i/>
      <w:iCs/>
      <w:sz w:val="24"/>
      <w:szCs w:val="24"/>
      <w:lang w:val="de-DE" w:eastAsia="de-DE" w:bidi="ar-SA"/>
    </w:rPr>
  </w:style>
  <w:style w:type="paragraph" w:customStyle="1" w:styleId="CitaviBibliographySubheading5">
    <w:name w:val="Citavi Bibliography Subheading 5"/>
    <w:basedOn w:val="berschrift6"/>
    <w:link w:val="CitaviBibliographySubheading5Zchn"/>
    <w:rsid w:val="00081776"/>
    <w:pPr>
      <w:outlineLvl w:val="9"/>
    </w:pPr>
    <w:rPr>
      <w:rFonts w:ascii="Calibri" w:eastAsia="Times New Roman" w:hAnsi="Calibri" w:cs="Times New Roman"/>
      <w:sz w:val="20"/>
      <w:szCs w:val="20"/>
      <w:lang w:val="de-DE" w:eastAsia="de-DE" w:bidi="ar-SA"/>
    </w:rPr>
  </w:style>
  <w:style w:type="character" w:customStyle="1" w:styleId="CitaviBibliographySubheading5Zchn">
    <w:name w:val="Citavi Bibliography Subheading 5 Zchn"/>
    <w:basedOn w:val="FunotentextZchn"/>
    <w:link w:val="CitaviBibliographySubheading5"/>
    <w:rsid w:val="00081776"/>
    <w:rPr>
      <w:rFonts w:ascii="Calibri" w:eastAsia="Times New Roman" w:hAnsi="Calibri" w:cs="Times New Roman"/>
      <w:b/>
      <w:bCs/>
      <w:color w:val="595959" w:themeColor="text1" w:themeTint="A6"/>
      <w:spacing w:val="5"/>
      <w:sz w:val="20"/>
      <w:szCs w:val="20"/>
      <w:shd w:val="clear" w:color="auto" w:fill="FFFFFF" w:themeFill="background1"/>
      <w:lang w:val="de-DE" w:eastAsia="de-DE" w:bidi="ar-SA"/>
    </w:rPr>
  </w:style>
  <w:style w:type="paragraph" w:customStyle="1" w:styleId="CitaviBibliographySubheading6">
    <w:name w:val="Citavi Bibliography Subheading 6"/>
    <w:basedOn w:val="berschrift7"/>
    <w:link w:val="CitaviBibliographySubheading6Zchn"/>
    <w:rsid w:val="00081776"/>
    <w:pPr>
      <w:outlineLvl w:val="9"/>
    </w:pPr>
    <w:rPr>
      <w:rFonts w:ascii="Calibri" w:eastAsia="Times New Roman" w:hAnsi="Calibri" w:cs="Times New Roman"/>
      <w:lang w:val="de-DE" w:eastAsia="de-DE" w:bidi="ar-SA"/>
    </w:rPr>
  </w:style>
  <w:style w:type="character" w:customStyle="1" w:styleId="CitaviBibliographySubheading6Zchn">
    <w:name w:val="Citavi Bibliography Subheading 6 Zchn"/>
    <w:basedOn w:val="FunotentextZchn"/>
    <w:link w:val="CitaviBibliographySubheading6"/>
    <w:rsid w:val="00081776"/>
    <w:rPr>
      <w:rFonts w:ascii="Calibri" w:eastAsia="Times New Roman" w:hAnsi="Calibri" w:cs="Times New Roman"/>
      <w:b/>
      <w:bCs/>
      <w:i/>
      <w:iCs/>
      <w:color w:val="5A5A5A" w:themeColor="text1" w:themeTint="A5"/>
      <w:sz w:val="20"/>
      <w:szCs w:val="20"/>
      <w:lang w:val="de-DE" w:eastAsia="de-DE" w:bidi="ar-SA"/>
    </w:rPr>
  </w:style>
  <w:style w:type="paragraph" w:customStyle="1" w:styleId="CitaviBibliographySubheading7">
    <w:name w:val="Citavi Bibliography Subheading 7"/>
    <w:basedOn w:val="berschrift8"/>
    <w:link w:val="CitaviBibliographySubheading7Zchn"/>
    <w:rsid w:val="00081776"/>
    <w:pPr>
      <w:outlineLvl w:val="9"/>
    </w:pPr>
    <w:rPr>
      <w:rFonts w:ascii="Calibri" w:eastAsia="Times New Roman" w:hAnsi="Calibri" w:cs="Times New Roman"/>
      <w:lang w:val="de-DE" w:eastAsia="de-DE" w:bidi="ar-SA"/>
    </w:rPr>
  </w:style>
  <w:style w:type="character" w:customStyle="1" w:styleId="CitaviBibliographySubheading7Zchn">
    <w:name w:val="Citavi Bibliography Subheading 7 Zchn"/>
    <w:basedOn w:val="FunotentextZchn"/>
    <w:link w:val="CitaviBibliographySubheading7"/>
    <w:rsid w:val="00081776"/>
    <w:rPr>
      <w:rFonts w:ascii="Calibri" w:eastAsia="Times New Roman" w:hAnsi="Calibri" w:cs="Times New Roman"/>
      <w:b/>
      <w:bCs/>
      <w:color w:val="7F7F7F" w:themeColor="text1" w:themeTint="80"/>
      <w:sz w:val="20"/>
      <w:szCs w:val="20"/>
      <w:lang w:val="de-DE" w:eastAsia="de-DE" w:bidi="ar-SA"/>
    </w:rPr>
  </w:style>
  <w:style w:type="paragraph" w:customStyle="1" w:styleId="CitaviBibliographySubheading8">
    <w:name w:val="Citavi Bibliography Subheading 8"/>
    <w:basedOn w:val="berschrift9"/>
    <w:link w:val="CitaviBibliographySubheading8Zchn"/>
    <w:rsid w:val="00081776"/>
    <w:pPr>
      <w:outlineLvl w:val="9"/>
    </w:pPr>
    <w:rPr>
      <w:rFonts w:ascii="Calibri" w:eastAsia="Times New Roman" w:hAnsi="Calibri" w:cs="Times New Roman"/>
      <w:lang w:val="de-DE" w:eastAsia="de-DE" w:bidi="ar-SA"/>
    </w:rPr>
  </w:style>
  <w:style w:type="character" w:customStyle="1" w:styleId="CitaviBibliographySubheading8Zchn">
    <w:name w:val="Citavi Bibliography Subheading 8 Zchn"/>
    <w:basedOn w:val="FunotentextZchn"/>
    <w:link w:val="CitaviBibliographySubheading8"/>
    <w:rsid w:val="00081776"/>
    <w:rPr>
      <w:rFonts w:ascii="Calibri" w:eastAsia="Times New Roman" w:hAnsi="Calibri" w:cs="Times New Roman"/>
      <w:b/>
      <w:bCs/>
      <w:i/>
      <w:iCs/>
      <w:color w:val="7F7F7F" w:themeColor="text1" w:themeTint="80"/>
      <w:sz w:val="18"/>
      <w:szCs w:val="1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dgs.d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hriftleitung@rdgs.d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dgs.de"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hriftleitung@rdgs.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ock\AppData\Roaming\Microsoft\Templates\RdGS_Newsletter.dotx" TargetMode="External"/></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60DB-2203-4250-8CD5-BD857442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RdGS_Newsletter.dotx</Template>
  <TotalTime>0</TotalTime>
  <Pages>4</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Die Pflegereform 2013</vt:lpstr>
    </vt:vector>
  </TitlesOfParts>
  <Company>KFH NW</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Pflegereform 2013</dc:title>
  <dc:creator>winadmin</dc:creator>
  <cp:lastModifiedBy>christof stock</cp:lastModifiedBy>
  <cp:revision>4</cp:revision>
  <cp:lastPrinted>2017-01-16T10:34:00Z</cp:lastPrinted>
  <dcterms:created xsi:type="dcterms:W3CDTF">2018-06-28T10:34:00Z</dcterms:created>
  <dcterms:modified xsi:type="dcterms:W3CDTF">2018-06-29T14:11:00Z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G:\Citavi 5\Projects\Psychotherapie_und_Heilpraktiker\Psychotherapie.ctv5</vt:lpwstr>
  </property>
  <property fmtid="{D5CDD505-2E9C-101B-9397-08002B2CF9AE}" pid="3" name="CitaviDocumentProperty_7">
    <vt:lpwstr>Psychotherapie</vt:lpwstr>
  </property>
  <property fmtid="{D5CDD505-2E9C-101B-9397-08002B2CF9AE}" pid="4" name="CitaviDocumentProperty_0">
    <vt:lpwstr>0ff7752e-909b-420e-8f45-9c6424a01f98</vt:lpwstr>
  </property>
  <property fmtid="{D5CDD505-2E9C-101B-9397-08002B2CF9AE}" pid="5" name="CitaviDocumentProperty_1">
    <vt:lpwstr>5.6.0.2</vt:lpwstr>
  </property>
</Properties>
</file>